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DDDB" w14:textId="1E2A6A42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ANEXA nr. 2: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 </w:t>
      </w: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CONTRACT de asigurare pentru concedii şi </w:t>
      </w:r>
      <w:r w:rsidR="005003C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de asigurări sociale de sănătate</w:t>
      </w:r>
    </w:p>
    <w:p w14:paraId="46128DBA" w14:textId="77777777" w:rsidR="00CA03AE" w:rsidRPr="001D32B9" w:rsidRDefault="00CA03A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</w:p>
    <w:p w14:paraId="362BDED2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0" w:name="do|ax2|pa1"/>
      <w:bookmarkEnd w:id="0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CASA NAŢIONALĂ DE ASIGURĂRI DE SĂNĂTATE</w:t>
      </w:r>
    </w:p>
    <w:p w14:paraId="4C0FE3F9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1" w:name="do|ax2|pa2"/>
      <w:bookmarkEnd w:id="1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Casa de Asigurări de Sănătate .....................</w:t>
      </w:r>
    </w:p>
    <w:p w14:paraId="651AE87B" w14:textId="77777777" w:rsidR="005003CF" w:rsidRPr="001D32B9" w:rsidRDefault="005003C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" w:name="do|ax2|pa3"/>
      <w:bookmarkEnd w:id="2"/>
    </w:p>
    <w:p w14:paraId="18A99E74" w14:textId="5C3B2C2F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Nr. ..../....</w:t>
      </w:r>
    </w:p>
    <w:p w14:paraId="7259AD8E" w14:textId="77777777" w:rsidR="005003CF" w:rsidRPr="001D32B9" w:rsidRDefault="005003C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" w:name="do|ax2|pa4"/>
      <w:bookmarkEnd w:id="3"/>
    </w:p>
    <w:p w14:paraId="3E307732" w14:textId="5455959E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Încheiat între:</w:t>
      </w:r>
    </w:p>
    <w:p w14:paraId="1B790C15" w14:textId="77777777" w:rsidR="005003CF" w:rsidRPr="001D32B9" w:rsidRDefault="005003C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" w:name="do|ax2|pa5"/>
      <w:bookmarkEnd w:id="4"/>
    </w:p>
    <w:p w14:paraId="645995B3" w14:textId="40EEA645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Casa de Asigurări de Sănătate ....................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, reprezentată prin ......................., având 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funcția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......................., în calitate de asigurător, cu sediul în localitatea ........................, str. ................ nr. ......................, 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județul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/sectorul ..........................</w:t>
      </w:r>
    </w:p>
    <w:p w14:paraId="313C3876" w14:textId="77777777" w:rsidR="005003CF" w:rsidRPr="001D32B9" w:rsidRDefault="005003C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" w:name="do|ax2|pa6"/>
      <w:bookmarkEnd w:id="5"/>
    </w:p>
    <w:p w14:paraId="5BD0DA61" w14:textId="0DD14B2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şi</w:t>
      </w:r>
    </w:p>
    <w:p w14:paraId="5FA578BD" w14:textId="77777777" w:rsidR="005003CF" w:rsidRPr="001D32B9" w:rsidRDefault="005003C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" w:name="do|ax2|pa7"/>
      <w:bookmarkEnd w:id="6"/>
    </w:p>
    <w:p w14:paraId="765699B8" w14:textId="00DC14EE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Doamna/Domnul, .......................................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, în calitate de asigurat, posesor al codului numeric personal ...................., actul de identitate ................., seria ................. nr. ...................., cu domiciliul sau 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reședința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în localitatea ....................., str. ............ nr. ........................., bl. ..., sc. ..., et. ..............., ap. .........................., 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județul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/sectorul ......................, oficiul 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poștal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........................, telefon ......................, e-mail ...........................</w:t>
      </w:r>
    </w:p>
    <w:p w14:paraId="3CC16A21" w14:textId="77777777" w:rsidR="00BF036F" w:rsidRPr="001D32B9" w:rsidRDefault="00BF036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7" w:name="do|ax2|pt1"/>
      <w:bookmarkEnd w:id="7"/>
    </w:p>
    <w:p w14:paraId="735429EB" w14:textId="5AE5B2E1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1.</w:t>
      </w:r>
      <w:r w:rsidR="00BF036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Obiectul contractului este asigurarea în sistemul de asigurări sociale de sănătate, pentru concedii şi 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reglementată prin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Ordonanța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urgență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 Guvernului nr. </w:t>
      </w:r>
      <w:hyperlink r:id="rId4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158/2005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 privind concediile şi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indemnizațiile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aprobată cu modificări şi completări prin Legea nr. </w:t>
      </w:r>
      <w:hyperlink r:id="rId5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399/2006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, cu modificările şi completările ulterioare.</w:t>
      </w:r>
    </w:p>
    <w:p w14:paraId="45865EBD" w14:textId="77777777" w:rsidR="00BF036F" w:rsidRPr="001D32B9" w:rsidRDefault="00BF036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</w:p>
    <w:p w14:paraId="7ED902CB" w14:textId="35733785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8" w:name="do|ax2|pt2"/>
      <w:bookmarkEnd w:id="8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2.</w:t>
      </w:r>
      <w:r w:rsidR="00BF036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Prezentul contract produce efecte începând cu data de ........................ .</w:t>
      </w:r>
    </w:p>
    <w:p w14:paraId="65CF91B0" w14:textId="77777777" w:rsidR="00BF036F" w:rsidRPr="001D32B9" w:rsidRDefault="00BF036F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9" w:name="do|ax2|pt3"/>
      <w:bookmarkEnd w:id="9"/>
    </w:p>
    <w:p w14:paraId="664D31A3" w14:textId="24A15696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3.</w:t>
      </w:r>
      <w:r w:rsidR="00BF036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Condiții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asigurare:</w:t>
      </w:r>
    </w:p>
    <w:p w14:paraId="3A7618DA" w14:textId="6714F7DC" w:rsidR="009D5FEE" w:rsidRPr="001D32B9" w:rsidRDefault="009D5FEE" w:rsidP="00BF036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0" w:name="do|ax2|pt3|sp3.1."/>
      <w:bookmarkEnd w:id="10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3.1.</w:t>
      </w:r>
      <w:r w:rsidR="00BF036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Venitul lunar asigurat este de ................... lei (în cifre).</w:t>
      </w:r>
    </w:p>
    <w:p w14:paraId="5FA4267B" w14:textId="548ED97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1" w:name="do|ax2|pt3|sp3.1.|pa1"/>
      <w:bookmarkEnd w:id="11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În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situația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în care, ulterior încheierii prezentului contract pentru concedii şi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acest venit lunar asigurat este mai mic decât salariul de bază minim brut pe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țară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garantat în plată, stabilit potrivit legii, în vigoare în luna pentru care se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plătește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prevăzută la art. 3 alin. (3) din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Ordonanța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urgență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 Guvernului nr. </w:t>
      </w:r>
      <w:hyperlink r:id="rId6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158/2005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, aprobată cu modificări şi completări prin Legea nr. </w:t>
      </w:r>
      <w:hyperlink r:id="rId7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399/2006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, cu modificările şi completările ulterioare, sau, după caz, mai mare decât echivalentul a de 12 ori a acestuia, venitul lunar asigurat este salariul de bază minim brut pe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țară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garantat în plată sau, după caz, echivalentul a de 12 ori a acestuia.</w:t>
      </w:r>
    </w:p>
    <w:p w14:paraId="37651ADF" w14:textId="4A21138B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2" w:name="do|ax2|pt3|sp3.2."/>
      <w:bookmarkEnd w:id="12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3.2.</w:t>
      </w:r>
      <w:r w:rsidR="0059485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Cota de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este cea prevăzută la art. 3 alin. (3) din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Ordonanța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urgență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 Guvernului nr. </w:t>
      </w:r>
      <w:hyperlink r:id="rId8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158/2005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, aprobată cu modificări şi completări prin Legea nr. </w:t>
      </w:r>
      <w:hyperlink r:id="rId9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399/2006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, cu modificările şi completările ulterioare, datorată de persoanele care se asigură în baza contractului de asigurare pentru concedii şi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sănătate.</w:t>
      </w:r>
    </w:p>
    <w:p w14:paraId="3CC49CDA" w14:textId="7B8559E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3" w:name="do|ax2|pt3|sp3.2.|pa1"/>
      <w:bookmarkEnd w:id="13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Cota de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, la data încheierii prezentului contract de asigurare pentru concedii şi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este ..........................%.</w:t>
      </w:r>
    </w:p>
    <w:p w14:paraId="5DC227BE" w14:textId="67D627B0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4" w:name="do|ax2|pt3|sp3.3."/>
      <w:bookmarkEnd w:id="14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lastRenderedPageBreak/>
        <w:t>3.3.</w:t>
      </w:r>
      <w:r w:rsidR="0059485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Cuantumul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lunare se determină prin aplicarea cotei de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pentru luna pentru care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plătește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</w:t>
      </w:r>
      <w:r w:rsidR="0059485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prevăzută la pct. 3.2 la venitul lunar asigurat prevăzut la pct. 3.1.</w:t>
      </w:r>
    </w:p>
    <w:p w14:paraId="7C7B87F9" w14:textId="0A1DC3F2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5" w:name="do|ax2|pt3|sp3.3.|pa1"/>
      <w:bookmarkEnd w:id="15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Cuantumul </w:t>
      </w:r>
      <w:r w:rsidR="00BE652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lunare, la data încheierii prezentului contract pentru concedii şi </w:t>
      </w:r>
      <w:r w:rsidR="00BE652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este de .................. lei.</w:t>
      </w:r>
    </w:p>
    <w:p w14:paraId="2A1C6780" w14:textId="378116FD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6" w:name="do|ax2|pt3|sp3.4."/>
      <w:bookmarkEnd w:id="16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3.4.</w:t>
      </w:r>
      <w:r w:rsidR="00BE652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Contul în care se </w:t>
      </w:r>
      <w:r w:rsidR="00BE652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plătește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</w:t>
      </w:r>
      <w:r w:rsidR="00BE652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BE652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 pentru concedii şi </w:t>
      </w:r>
      <w:r w:rsidR="00BE652F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este .............., deschis la ..................... .</w:t>
      </w:r>
    </w:p>
    <w:p w14:paraId="1EBB5FB6" w14:textId="3D53E06D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7" w:name="do|ax2|pt3|sp3.5."/>
      <w:bookmarkEnd w:id="17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3.5.</w:t>
      </w:r>
      <w:r w:rsidR="0059485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="00BE652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Plata se poate face în numerar la casieriile casei de asigurări de sănătate sau prin orice alte mijloace de plată prevăzute de lege.</w:t>
      </w:r>
    </w:p>
    <w:p w14:paraId="1553842A" w14:textId="7A61E91D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8" w:name="do|ax2|pt3|sp3.6."/>
      <w:bookmarkEnd w:id="18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3.6.</w:t>
      </w:r>
      <w:r w:rsidR="0059485F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Plata </w:t>
      </w:r>
      <w:r w:rsidR="00104D7D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104D7D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sănătate, pentru concedii şi </w:t>
      </w:r>
      <w:r w:rsidR="00104D7D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se face lunar până la data de 25 inclusiv a lunii următoare celei pentru care se datorează.</w:t>
      </w:r>
    </w:p>
    <w:p w14:paraId="4001F7D4" w14:textId="12D2A9A9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19" w:name="do|ax2|pt3|sp3.6.|pa1"/>
      <w:bookmarkEnd w:id="19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Plata </w:t>
      </w:r>
      <w:r w:rsidR="00104D7D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poate fi efectuată şi în cursul lunii pentru care se datorează </w:t>
      </w:r>
      <w:r w:rsidR="00104D7D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sau cel mai târziu până la data de 25 inclusiv a lunii următoare acesteia.</w:t>
      </w:r>
    </w:p>
    <w:p w14:paraId="268D5F2D" w14:textId="04F0DA7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0" w:name="do|ax2|pt3|sp3.6.|pa2"/>
      <w:bookmarkEnd w:id="20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Plata </w:t>
      </w:r>
      <w:r w:rsidR="00104D7D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se poate efectua şi anticipat, pentru ................... luni (maximum 12 luni, calculate de la data intrării în vigoare a prezentului contract).</w:t>
      </w:r>
    </w:p>
    <w:p w14:paraId="18890F0D" w14:textId="6DECB43E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1" w:name="do|ax2|pt3|sp3.7."/>
      <w:bookmarkEnd w:id="21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3.7.</w:t>
      </w:r>
      <w:r w:rsidR="00104D7D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Neplata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sănătate,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la termenul prevăzut la pct. 3.6 generează plata de dobânzi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penalități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întârziere datorate pentru fiecare zi calendaristică, stabilite potrivit legii.</w:t>
      </w:r>
    </w:p>
    <w:p w14:paraId="2CCB96C0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</w:p>
    <w:p w14:paraId="5D13270F" w14:textId="60D91E3D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2" w:name="do|ax2|pt4"/>
      <w:bookmarkEnd w:id="22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4.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Obligațiile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casei de asigurări de sănătate:</w:t>
      </w:r>
    </w:p>
    <w:p w14:paraId="42CE5346" w14:textId="0469E4AD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3" w:name="do|ax2|pt4|sp4.1."/>
      <w:bookmarkEnd w:id="23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4.1.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certificarea stagiului de asigurare realizat în sistemul de asigurări sociale de sănătate,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sănătate;</w:t>
      </w:r>
    </w:p>
    <w:p w14:paraId="005D82B2" w14:textId="7B4A56B1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4" w:name="do|ax2|pt4|sp4.2."/>
      <w:bookmarkEnd w:id="24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4.2.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plata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în condiţiile şi conform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Ordonanței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urgență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 Guvernului nr. </w:t>
      </w:r>
      <w:hyperlink r:id="rId10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158/2005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, aprobată cu modificări şi completări prin Legea nr. </w:t>
      </w:r>
      <w:hyperlink r:id="rId11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399/2006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, cu modificările şi completările ulterioare;</w:t>
      </w:r>
    </w:p>
    <w:p w14:paraId="1E6B871C" w14:textId="176AE7C6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5" w:name="do|ax2|pt4|sp4.3."/>
      <w:bookmarkEnd w:id="25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4.3.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plata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contribuțiilor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sociale obligatorii prevăzute de lege, în condiţiile legii, în perioada în care asiguratul beneficiază de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sănătate;</w:t>
      </w:r>
    </w:p>
    <w:p w14:paraId="1E2B099A" w14:textId="1FF1B9A0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6" w:name="do|ax2|pt4|sp4.4."/>
      <w:bookmarkEnd w:id="26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4.4.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să elibereze asiguratului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adeverința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prevăzută în anexa nr. 7 la norme, din care să reiasă numărul de zile de concediu de concediu medical avute în ultimele 12/24 luni.</w:t>
      </w:r>
    </w:p>
    <w:p w14:paraId="488C01BC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</w:p>
    <w:p w14:paraId="741C254B" w14:textId="76C649E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7" w:name="do|ax2|pt5"/>
      <w:bookmarkEnd w:id="27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5.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Obligațiile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asiguratului:</w:t>
      </w:r>
    </w:p>
    <w:p w14:paraId="76CFB1F8" w14:textId="1B9834F2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8" w:name="do|ax2|pt5|sp5.1."/>
      <w:bookmarkEnd w:id="28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5.1.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achitarea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sănătate,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în cuantumul şi la termenul stabilit la pct. 3;</w:t>
      </w:r>
    </w:p>
    <w:p w14:paraId="18EB5D86" w14:textId="3933DDA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29" w:name="do|ax2|pt5|sp5.2."/>
      <w:bookmarkEnd w:id="29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5.2.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achitarea de dobânzi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penalități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întârziere pentru neplata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termenul prevăzut în contract;</w:t>
      </w:r>
    </w:p>
    <w:p w14:paraId="186F9CD9" w14:textId="16C3A61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0" w:name="do|ax2|pt5|sp5.3."/>
      <w:bookmarkEnd w:id="30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5.3.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înștiințarea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casei de asigurări de sănătate despre modificările survenite în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situația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sa, inclusiv în ceea ce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privește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asigurarea sa în sistemul public de pensii;</w:t>
      </w:r>
    </w:p>
    <w:p w14:paraId="0CE0E908" w14:textId="18610B1D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1" w:name="do|ax2|pt5|sp5.4."/>
      <w:bookmarkEnd w:id="31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5.4.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să se prezinte la sediul casei de asigurări de sănătate atunci când este solicitat, respectând termenul prevăzut în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invitație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.</w:t>
      </w:r>
    </w:p>
    <w:p w14:paraId="656F57C6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32" w:name="do|ax2|pt6"/>
      <w:bookmarkEnd w:id="32"/>
    </w:p>
    <w:p w14:paraId="2B58943A" w14:textId="7648E468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6.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Durata contractului</w:t>
      </w:r>
    </w:p>
    <w:p w14:paraId="003B3104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3" w:name="do|ax2|pt6|pa1"/>
      <w:bookmarkEnd w:id="33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lastRenderedPageBreak/>
        <w:t>Prezentul contract se încheie pe perioadă ......................... (Se completează, după caz: nedeterminată sau determinată pentru o perioadă de .............. zile, de la data de ... zz/ll/aa ....... la data de ... zz/ll/aa ....... inclusiv.)</w:t>
      </w:r>
    </w:p>
    <w:p w14:paraId="0DBB4C4E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34" w:name="do|ax2|pt7"/>
      <w:bookmarkEnd w:id="34"/>
    </w:p>
    <w:p w14:paraId="79D425EA" w14:textId="656B0C66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7.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Încetarea contractului</w:t>
      </w:r>
    </w:p>
    <w:p w14:paraId="5ABF7C71" w14:textId="6CBF89DC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5" w:name="do|ax2|pt7|sp7.1."/>
      <w:bookmarkEnd w:id="35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7.1.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Contractul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încetează:</w:t>
      </w:r>
    </w:p>
    <w:p w14:paraId="7F15DBA1" w14:textId="401974D1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6" w:name="do|ax2|pt7|sp7.1.|lia"/>
      <w:bookmarkEnd w:id="36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a)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la data la care expiră perioada pentru care a fost încheiat, prevăzută la pct. 6;</w:t>
      </w:r>
    </w:p>
    <w:p w14:paraId="0497B4DD" w14:textId="77C32ECC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7" w:name="do|ax2|pt7|sp7.1.|lib"/>
      <w:bookmarkEnd w:id="37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b)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la data la care asiguratul se încadrează în una dintre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situațiile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reglementate la art. 1 din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Ordonanța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urgență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 Guvernului nr. </w:t>
      </w:r>
      <w:hyperlink r:id="rId12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158/2005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, aprobată cu modificări şi completări prin Legea nr. </w:t>
      </w:r>
      <w:hyperlink r:id="rId13" w:history="1">
        <w:r w:rsidRPr="001D32B9">
          <w:rPr>
            <w:rFonts w:asciiTheme="majorHAnsi" w:eastAsia="Times New Roman" w:hAnsiTheme="majorHAnsi" w:cstheme="majorHAnsi"/>
            <w:sz w:val="24"/>
            <w:szCs w:val="24"/>
            <w:lang w:eastAsia="ro-RO"/>
          </w:rPr>
          <w:t>399/2006</w:t>
        </w:r>
      </w:hyperlink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, cu modificările şi completările ulterioare;</w:t>
      </w:r>
    </w:p>
    <w:p w14:paraId="4B02420C" w14:textId="4E0FB050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8" w:name="do|ax2|pt7|sp7.1.|lic"/>
      <w:bookmarkEnd w:id="38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c)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în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situația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în care nu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îndeplinește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obligația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prevăzută la pct. 5.3.</w:t>
      </w:r>
    </w:p>
    <w:p w14:paraId="30ACB64E" w14:textId="2DFB6D60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39" w:name="do|ax2|pt7|sp7.2."/>
      <w:bookmarkEnd w:id="39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7.2.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Contractul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încetează din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inițiativa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asiguratului, dacă acesta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înștiințează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casa de asigurări de sănătate înainte cu cel puţin 30 de zile calendaristice de la expirarea termenului-limită de plată 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 prevăzut la pct. 3.6.</w:t>
      </w:r>
    </w:p>
    <w:p w14:paraId="6CDA900C" w14:textId="1687C361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0" w:name="do|ax2|pt7|sp7.3."/>
      <w:bookmarkEnd w:id="40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7.3.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Contractul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încetează din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inițiativa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casei de asigurări de sănătate, dacă asiguratul nu achită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 pe o perioadă de 2 luni consecutive. Contractul încetează începând cu luna următoare celei până la care s-a plătit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.</w:t>
      </w:r>
    </w:p>
    <w:p w14:paraId="17D501AA" w14:textId="3BE8FE78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1" w:name="do|ax2|pt7|sp7.4."/>
      <w:bookmarkEnd w:id="41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7.4.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Casa de asigurări de sănătate notifică asiguratului încetarea contractului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sănătate.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achitată până la momentul încetării contractului nu se restituie.</w:t>
      </w:r>
    </w:p>
    <w:p w14:paraId="538B102E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42" w:name="do|ax2|pt8"/>
      <w:bookmarkEnd w:id="42"/>
    </w:p>
    <w:p w14:paraId="61ADA069" w14:textId="6D6EED1B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Alte clauze</w:t>
      </w:r>
    </w:p>
    <w:p w14:paraId="5CEFCB30" w14:textId="0F98DC2E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3" w:name="do|ax2|pt8|sp8.1."/>
      <w:bookmarkEnd w:id="43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8.1.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Perioada pentru care nu s-a plătit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sănătate,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nu constituie stagiu de asigurare.</w:t>
      </w:r>
    </w:p>
    <w:p w14:paraId="7652D19E" w14:textId="71347AE6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4" w:name="do|ax2|pt8|sp8.2."/>
      <w:bookmarkEnd w:id="44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8.2.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Stagiul de asigurare se constituie din însumarea perioadelor (luni sau zile, după caz) pentru care s-a achitat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contribuția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la bugetul Fondului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sănătate,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sănătate.</w:t>
      </w:r>
    </w:p>
    <w:p w14:paraId="62408ACA" w14:textId="614E2CC4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5" w:name="do|ax2|pt8|sp8.3."/>
      <w:bookmarkEnd w:id="45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8.3.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Venitul lunar asigurat prevăzut la pct. 3.1 se actualizează dacă ulterior încheierii contractului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se modifică valoarea salariului de bază minim brut pe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țară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garantat în plată, stabilit potrivit legii.</w:t>
      </w:r>
    </w:p>
    <w:p w14:paraId="611952E7" w14:textId="6DC4F60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6" w:name="do|ax2|pt8|sp8.4."/>
      <w:bookmarkEnd w:id="46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8.4.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Cota de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prevăzută la pct. 3.2 se actualizează dacă ulterior încheierii contractului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aceasta se modifică, potrivit legii.</w:t>
      </w:r>
    </w:p>
    <w:p w14:paraId="238E5ADC" w14:textId="2EB46A59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7" w:name="do|ax2|pt8|sp8.5."/>
      <w:bookmarkEnd w:id="47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8.5.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Cuantumul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contribuției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datorate bugetului Fondului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național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unic de asigurări sociale de sănătate prevăzut la pct. 3.3 se actualizează, ulterior încheierii contractului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sănătate, în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situațiile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prevăzute la pct. 8.3 şi 8.4, după caz.</w:t>
      </w:r>
    </w:p>
    <w:p w14:paraId="274075D3" w14:textId="2E0158DB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8" w:name="do|ax2|pt8|sp8.6."/>
      <w:bookmarkEnd w:id="48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8.6.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Stagiul de asigurare realizat în baza prezentului contract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este luat în considerare în cazul încheierii unui nou contract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sănătate.</w:t>
      </w:r>
    </w:p>
    <w:p w14:paraId="6EF4F990" w14:textId="1AA541B0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49" w:name="do|ax2|pt8|sp8.7."/>
      <w:bookmarkEnd w:id="49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lastRenderedPageBreak/>
        <w:t>8.7.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În caz de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forță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majoră părţile contractante sunt exonerate de răspundere pentru neexecutarea sau executarea necorespunzătoare ori cu întârziere 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obligațiilor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asumate prin prezentul contract. Cazul de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forță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majoră se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dovedește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partea care o invocă.</w:t>
      </w:r>
    </w:p>
    <w:p w14:paraId="47170851" w14:textId="330B4B1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0" w:name="do|ax2|pt8|sp8.8."/>
      <w:bookmarkEnd w:id="50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8.8.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Modificarea oricăror prevederi ale prezentului contract se poate face numai cu acordul scris al ambelor părţi, prin act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adițional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. Când una dintre părţi nu este de acord cu modificarea solicitată de cealaltă parte, contractul se consideră încetat.</w:t>
      </w:r>
    </w:p>
    <w:p w14:paraId="65B876E8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51" w:name="do|ax2|pt9"/>
      <w:bookmarkEnd w:id="51"/>
    </w:p>
    <w:p w14:paraId="59A6E0C5" w14:textId="70B6A075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9.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Litigii</w:t>
      </w:r>
    </w:p>
    <w:p w14:paraId="7209BB22" w14:textId="5048D2FC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2" w:name="do|ax2|pt9|sp9.1."/>
      <w:bookmarkEnd w:id="52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9.1.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Litigiile născute în legătură cu încheierea, executarea, modificarea şi încetarea prezentului contract ori în legătură cu alte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pretenții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decurgând din acesta vor fi supuse unei proceduri prealabile de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soluționare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pe cale amiabilă.</w:t>
      </w:r>
    </w:p>
    <w:p w14:paraId="7A5CF1D2" w14:textId="3C58830F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3" w:name="do|ax2|pt9|sp9.2."/>
      <w:bookmarkEnd w:id="53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9.2.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Dacă după 15 zile de la începerea procedurilor prevăzute la pct. 9.1 părţile semnatare ale prezentului contract nu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reușesc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să rezolve în mod amiabil o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divergență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contractuală, fiecare parte se poate adresa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instanțelor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judecătorești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competente.</w:t>
      </w:r>
    </w:p>
    <w:p w14:paraId="578A398D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54" w:name="do|ax2|pt10"/>
      <w:bookmarkEnd w:id="54"/>
    </w:p>
    <w:p w14:paraId="5AB609D6" w14:textId="7F03AA6D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10.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Dispoziții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finale</w:t>
      </w:r>
    </w:p>
    <w:p w14:paraId="14A43D06" w14:textId="49A88A2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5" w:name="do|ax2|pt10|sp10.1."/>
      <w:bookmarkEnd w:id="55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10.1.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În condiţiile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apariției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unor noi acte normative în materie, care intră în vigoare pe durata derulării prezentului contract, clauzele contrare se vor modifica şi se vor completa în mod corespunzător. Dacă o clauză a prezentului contract ar fi declarată nulă, celelalte prevederi ale acestuia nu vor fi afectate de această nulitate. Părţile convin ca orice clauză declarată nulă să fie înlocuită printr-o altă clauză care să corespundă cât mai bine cu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putință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spiritului prezentului contract.</w:t>
      </w:r>
    </w:p>
    <w:p w14:paraId="7BC5C054" w14:textId="570B6752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6" w:name="do|ax2|pt10|sp10.2."/>
      <w:bookmarkEnd w:id="56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10.2.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Prevederile prezentului contract se vor completa cu prevederile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legislației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în vigoare în domeniu.</w:t>
      </w:r>
    </w:p>
    <w:p w14:paraId="6C705CB6" w14:textId="54641805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7" w:name="do|ax2|pt10|sp10.3."/>
      <w:bookmarkEnd w:id="57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10.3.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Limba care guvernează prezentul contract este limba română.</w:t>
      </w:r>
    </w:p>
    <w:p w14:paraId="2DA1983F" w14:textId="1EFA676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58" w:name="do|ax2|pt10|sp10.4."/>
      <w:bookmarkEnd w:id="58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10.4.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Prezentul contract va fi interpretat conform legilor din România.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BF036F" w:rsidRPr="001D32B9" w14:paraId="7C5C26D8" w14:textId="77777777" w:rsidTr="009D5FEE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08CBEFAA" w14:textId="77777777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  <w:bookmarkStart w:id="59" w:name="do|ax2|pt10|sp10.4.|pa1"/>
            <w:bookmarkEnd w:id="59"/>
          </w:p>
          <w:p w14:paraId="6CB7DE02" w14:textId="77777777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2B5A728B" w14:textId="12B60A5A" w:rsidR="009D5FEE" w:rsidRPr="001D32B9" w:rsidRDefault="009D5FEE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  <w:r w:rsidRPr="001D32B9"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  <w:t>Asigurător,</w:t>
            </w:r>
          </w:p>
          <w:p w14:paraId="47E9072D" w14:textId="77777777" w:rsidR="009D5FEE" w:rsidRPr="001D32B9" w:rsidRDefault="009D5FEE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  <w:r w:rsidRPr="001D32B9"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  <w:t>..................</w:t>
            </w:r>
          </w:p>
          <w:p w14:paraId="51C52A87" w14:textId="77777777" w:rsidR="009D5FEE" w:rsidRPr="001D32B9" w:rsidRDefault="009D5FEE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  <w:r w:rsidRPr="001D32B9"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  <w:t>Asigurat,</w:t>
            </w:r>
          </w:p>
          <w:p w14:paraId="4C2F545F" w14:textId="77777777" w:rsidR="009D5FEE" w:rsidRPr="001D32B9" w:rsidRDefault="009D5FEE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  <w:r w:rsidRPr="001D32B9"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  <w:t>..................</w:t>
            </w:r>
          </w:p>
          <w:p w14:paraId="6A929BA3" w14:textId="0FE88462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662B5DBE" w14:textId="28B8406E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3F8C7FD9" w14:textId="0C11710A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142A51DF" w14:textId="36938532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546996F2" w14:textId="64CCDF39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229C6826" w14:textId="6554367F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6ABB84EB" w14:textId="36E722F5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5C34E6F2" w14:textId="748CB8DD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559CE627" w14:textId="7F364759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605C11B9" w14:textId="4720D1BB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511ABF82" w14:textId="0A31D07F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34184BB0" w14:textId="231C7794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16243E09" w14:textId="77777777" w:rsid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6B054C02" w14:textId="77777777" w:rsidR="001D32B9" w:rsidRP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  <w:p w14:paraId="13FD6D70" w14:textId="4EC4AFA1" w:rsidR="001D32B9" w:rsidRPr="001D32B9" w:rsidRDefault="001D32B9" w:rsidP="009D5F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ro-RO"/>
              </w:rPr>
            </w:pPr>
          </w:p>
        </w:tc>
      </w:tr>
    </w:tbl>
    <w:p w14:paraId="764B1F68" w14:textId="581672F3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</w:pPr>
      <w:bookmarkStart w:id="60" w:name="do|ax3"/>
      <w:bookmarkEnd w:id="60"/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lastRenderedPageBreak/>
        <w:t>ANEXA nr. 3: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 </w:t>
      </w: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ACT ADIŢIONAL la Contractul de asigurare pentru concedii şi </w:t>
      </w:r>
      <w:r w:rsidR="001D32B9"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b/>
          <w:bCs/>
          <w:sz w:val="24"/>
          <w:szCs w:val="24"/>
          <w:lang w:eastAsia="ro-RO"/>
        </w:rPr>
        <w:t xml:space="preserve"> de asigurări sociale de sănătate</w:t>
      </w:r>
    </w:p>
    <w:p w14:paraId="117188F2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</w:p>
    <w:p w14:paraId="3B00CB33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1" w:name="do|ax3|pa1"/>
      <w:bookmarkEnd w:id="61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CASA NAŢIONALĂ DE ASIGURĂRI DE SĂNĂTATE</w:t>
      </w:r>
    </w:p>
    <w:p w14:paraId="28802517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2" w:name="do|ax3|pa2"/>
      <w:bookmarkEnd w:id="62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Casa de Asigurări de Sănătate ..........................</w:t>
      </w:r>
    </w:p>
    <w:p w14:paraId="3F572BC1" w14:textId="77777777" w:rsidR="001D32B9" w:rsidRPr="001D32B9" w:rsidRDefault="001D32B9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3" w:name="do|ax3|pa3"/>
      <w:bookmarkEnd w:id="63"/>
    </w:p>
    <w:p w14:paraId="571BBAB9" w14:textId="641B2634" w:rsidR="009D5FEE" w:rsidRPr="001D32B9" w:rsidRDefault="009D5FEE" w:rsidP="001D32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ACT ADIŢIONAL la Contractul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</w:t>
      </w:r>
    </w:p>
    <w:p w14:paraId="5DD71D1A" w14:textId="77777777" w:rsidR="009D5FEE" w:rsidRPr="001D32B9" w:rsidRDefault="009D5FEE" w:rsidP="001D32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4" w:name="do|ax3|pa4"/>
      <w:bookmarkEnd w:id="64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Nr. ............. din ziua ............... luna ................ anul ...............</w:t>
      </w:r>
    </w:p>
    <w:p w14:paraId="20845CBE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5" w:name="do|ax3|pa5"/>
      <w:bookmarkEnd w:id="65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Pentru asiguratul:</w:t>
      </w:r>
    </w:p>
    <w:p w14:paraId="10E6A6E3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6" w:name="do|ax3|pa6"/>
      <w:bookmarkEnd w:id="66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Numele şi prenumele: ...........................</w:t>
      </w:r>
    </w:p>
    <w:p w14:paraId="7B9D1F57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7" w:name="do|ax3|pa7"/>
      <w:bookmarkEnd w:id="67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Codul numeric personal: ........................</w:t>
      </w:r>
    </w:p>
    <w:p w14:paraId="55C83461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8" w:name="do|ax3|pa8"/>
      <w:bookmarkEnd w:id="68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Începând cu data de: zi ........... luna ............ an ................</w:t>
      </w:r>
    </w:p>
    <w:p w14:paraId="7C8E5D1A" w14:textId="16F7F9A4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69" w:name="do|ax3|pa9"/>
      <w:bookmarkEnd w:id="69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în Contractul de asigurare pentru concedii şi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indemnizații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de asigurări sociale de sănătate nr. ......... din ziua ........... luna ................ anul ................... au survenit următoarele modificări:</w:t>
      </w:r>
    </w:p>
    <w:p w14:paraId="7C96B5EA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70" w:name="do|ax3|pa10"/>
      <w:bookmarkEnd w:id="70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...................................................................................................</w:t>
      </w:r>
    </w:p>
    <w:p w14:paraId="3CCDBB6F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71" w:name="do|ax3|pa11"/>
      <w:bookmarkEnd w:id="71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...................................................................................................</w:t>
      </w:r>
    </w:p>
    <w:p w14:paraId="3B9C5AAE" w14:textId="77777777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72" w:name="do|ax3|pa12"/>
      <w:bookmarkEnd w:id="72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...................................................................................................</w:t>
      </w:r>
    </w:p>
    <w:p w14:paraId="784F9861" w14:textId="01BDF1D5" w:rsidR="009D5FEE" w:rsidRPr="001D32B9" w:rsidRDefault="009D5FEE" w:rsidP="009D5FE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o-RO"/>
        </w:rPr>
      </w:pPr>
      <w:bookmarkStart w:id="73" w:name="do|ax3|pa13"/>
      <w:bookmarkEnd w:id="73"/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Prezentul act </w:t>
      </w:r>
      <w:r w:rsidR="001D32B9"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>adițional</w:t>
      </w:r>
      <w:r w:rsidRPr="001D32B9">
        <w:rPr>
          <w:rFonts w:asciiTheme="majorHAnsi" w:eastAsia="Times New Roman" w:hAnsiTheme="majorHAnsi" w:cstheme="majorHAnsi"/>
          <w:sz w:val="24"/>
          <w:szCs w:val="24"/>
          <w:lang w:eastAsia="ro-RO"/>
        </w:rPr>
        <w:t xml:space="preserve"> a fost întocmit în două exemplare, câte unul pentru fiecare parte.</w:t>
      </w:r>
    </w:p>
    <w:p w14:paraId="549FDDB5" w14:textId="77777777" w:rsidR="00A256CA" w:rsidRPr="001D32B9" w:rsidRDefault="00A256CA">
      <w:pPr>
        <w:rPr>
          <w:rFonts w:asciiTheme="majorHAnsi" w:hAnsiTheme="majorHAnsi" w:cstheme="majorHAnsi"/>
          <w:sz w:val="24"/>
          <w:szCs w:val="24"/>
        </w:rPr>
      </w:pPr>
    </w:p>
    <w:sectPr w:rsidR="00A256CA" w:rsidRPr="001D3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fland Office">
    <w:panose1 w:val="020B0503040000020003"/>
    <w:charset w:val="00"/>
    <w:family w:val="swiss"/>
    <w:pitch w:val="variable"/>
    <w:sig w:usb0="00000207" w:usb1="00000000" w:usb2="00000000" w:usb3="00000000" w:csb0="00000097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EE"/>
    <w:rsid w:val="00104D7D"/>
    <w:rsid w:val="001D32B9"/>
    <w:rsid w:val="005003CF"/>
    <w:rsid w:val="0059485F"/>
    <w:rsid w:val="007C5F46"/>
    <w:rsid w:val="009D5FEE"/>
    <w:rsid w:val="00A256CA"/>
    <w:rsid w:val="00BE652F"/>
    <w:rsid w:val="00BF036F"/>
    <w:rsid w:val="00C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432B"/>
  <w15:chartTrackingRefBased/>
  <w15:docId w15:val="{8C4FA8A3-45A1-4355-A27F-5884C036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9D5FEE"/>
  </w:style>
  <w:style w:type="character" w:customStyle="1" w:styleId="tax">
    <w:name w:val="tax"/>
    <w:basedOn w:val="DefaultParagraphFont"/>
    <w:rsid w:val="009D5FEE"/>
  </w:style>
  <w:style w:type="character" w:styleId="Hyperlink">
    <w:name w:val="Hyperlink"/>
    <w:basedOn w:val="DefaultParagraphFont"/>
    <w:uiPriority w:val="99"/>
    <w:semiHidden/>
    <w:unhideWhenUsed/>
    <w:rsid w:val="009D5FEE"/>
    <w:rPr>
      <w:color w:val="0000FF"/>
      <w:u w:val="single"/>
    </w:rPr>
  </w:style>
  <w:style w:type="character" w:customStyle="1" w:styleId="tpa">
    <w:name w:val="tpa"/>
    <w:basedOn w:val="DefaultParagraphFont"/>
    <w:rsid w:val="009D5FEE"/>
  </w:style>
  <w:style w:type="character" w:customStyle="1" w:styleId="pt">
    <w:name w:val="pt"/>
    <w:basedOn w:val="DefaultParagraphFont"/>
    <w:rsid w:val="009D5FEE"/>
  </w:style>
  <w:style w:type="character" w:customStyle="1" w:styleId="tpt">
    <w:name w:val="tpt"/>
    <w:basedOn w:val="DefaultParagraphFont"/>
    <w:rsid w:val="009D5FEE"/>
  </w:style>
  <w:style w:type="character" w:customStyle="1" w:styleId="sp">
    <w:name w:val="sp"/>
    <w:basedOn w:val="DefaultParagraphFont"/>
    <w:rsid w:val="009D5FEE"/>
  </w:style>
  <w:style w:type="character" w:customStyle="1" w:styleId="tsp">
    <w:name w:val="tsp"/>
    <w:basedOn w:val="DefaultParagraphFont"/>
    <w:rsid w:val="009D5FEE"/>
  </w:style>
  <w:style w:type="character" w:customStyle="1" w:styleId="li">
    <w:name w:val="li"/>
    <w:basedOn w:val="DefaultParagraphFont"/>
    <w:rsid w:val="009D5FEE"/>
  </w:style>
  <w:style w:type="character" w:customStyle="1" w:styleId="tli">
    <w:name w:val="tli"/>
    <w:basedOn w:val="DefaultParagraphFont"/>
    <w:rsid w:val="009D5FEE"/>
  </w:style>
  <w:style w:type="paragraph" w:styleId="NormalWeb">
    <w:name w:val="Normal (Web)"/>
    <w:basedOn w:val="Normal"/>
    <w:uiPriority w:val="99"/>
    <w:semiHidden/>
    <w:unhideWhenUsed/>
    <w:rsid w:val="009D5FEE"/>
    <w:pPr>
      <w:spacing w:before="100" w:beforeAutospacing="1" w:after="100" w:afterAutospacing="1" w:line="240" w:lineRule="auto"/>
    </w:pPr>
    <w:rPr>
      <w:rFonts w:ascii="Kaufland Office" w:eastAsia="Times New Roman" w:hAnsi="Kaufland Office" w:cs="Kaufland Office"/>
      <w:lang w:eastAsia="ro-RO"/>
    </w:rPr>
  </w:style>
  <w:style w:type="paragraph" w:styleId="ListParagraph">
    <w:name w:val="List Paragraph"/>
    <w:basedOn w:val="Normal"/>
    <w:uiPriority w:val="34"/>
    <w:qFormat/>
    <w:rsid w:val="00BF0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3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810586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421010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343591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143256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714211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391125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579452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485018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109875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050312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592475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037222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57942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85510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95546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283864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64661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63261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967040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76849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345829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583016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1473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3348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3592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5653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7456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564025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2866994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329287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387142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41811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65527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63034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9820067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95743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992087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8496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53824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10901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5235957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997140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26968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714380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0950536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635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88056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43086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11168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6291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192743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5826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41316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6894083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737941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65232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245852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449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35324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77910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60315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62043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83442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0361521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822152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659310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07738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5067523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626967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5149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61283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16611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1413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37923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782143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  <w:div w:id="123242161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51383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41304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372947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603878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26877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033634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102077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04947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72308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569480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018867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586722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668603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8541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87775.htm" TargetMode="External"/><Relationship Id="rId13" Type="http://schemas.openxmlformats.org/officeDocument/2006/relationships/hyperlink" Target="https://idrept.ro/000973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rept.ro/00097300.htm" TargetMode="External"/><Relationship Id="rId12" Type="http://schemas.openxmlformats.org/officeDocument/2006/relationships/hyperlink" Target="https://idrept.ro/0008777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rept.ro/00087775.htm" TargetMode="External"/><Relationship Id="rId11" Type="http://schemas.openxmlformats.org/officeDocument/2006/relationships/hyperlink" Target="https://idrept.ro/00097300.htm" TargetMode="External"/><Relationship Id="rId5" Type="http://schemas.openxmlformats.org/officeDocument/2006/relationships/hyperlink" Target="https://idrept.ro/00097300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drept.ro/00087775.htm" TargetMode="External"/><Relationship Id="rId4" Type="http://schemas.openxmlformats.org/officeDocument/2006/relationships/hyperlink" Target="https://idrept.ro/00087775.htm" TargetMode="External"/><Relationship Id="rId9" Type="http://schemas.openxmlformats.org/officeDocument/2006/relationships/hyperlink" Target="https://idrept.ro/000973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1902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Razvan Vasiliu</cp:lastModifiedBy>
  <cp:revision>10</cp:revision>
  <dcterms:created xsi:type="dcterms:W3CDTF">2020-07-13T14:22:00Z</dcterms:created>
  <dcterms:modified xsi:type="dcterms:W3CDTF">2020-07-14T11:36:00Z</dcterms:modified>
</cp:coreProperties>
</file>